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40" w:rsidRPr="00602466" w:rsidRDefault="00135940" w:rsidP="00135940">
      <w:pPr>
        <w:pStyle w:val="Heading5"/>
        <w:ind w:left="2880" w:firstLine="720"/>
        <w:jc w:val="both"/>
      </w:pPr>
      <w:bookmarkStart w:id="0" w:name="_Toc406417714"/>
      <w:r w:rsidRPr="00602466">
        <w:t>Grading System</w:t>
      </w:r>
      <w:bookmarkEnd w:id="0"/>
    </w:p>
    <w:p w:rsidR="00135940" w:rsidRPr="00602466" w:rsidRDefault="00135940" w:rsidP="00135940"/>
    <w:p w:rsidR="00135940" w:rsidRPr="0054092E" w:rsidRDefault="00135940" w:rsidP="00135940">
      <w:pPr>
        <w:spacing w:after="216"/>
        <w:rPr>
          <w:b/>
          <w:bCs/>
          <w:spacing w:val="4"/>
          <w:sz w:val="18"/>
          <w:szCs w:val="18"/>
        </w:rPr>
      </w:pPr>
      <w:r w:rsidRPr="0054092E">
        <w:rPr>
          <w:b/>
          <w:bCs/>
          <w:spacing w:val="4"/>
          <w:sz w:val="18"/>
          <w:szCs w:val="18"/>
        </w:rPr>
        <w:t>QUALITY POINTS for students entering 9</w:t>
      </w:r>
      <w:r w:rsidRPr="0054092E">
        <w:rPr>
          <w:b/>
          <w:bCs/>
          <w:spacing w:val="4"/>
          <w:sz w:val="18"/>
          <w:szCs w:val="18"/>
          <w:vertAlign w:val="superscript"/>
        </w:rPr>
        <w:t>th</w:t>
      </w:r>
      <w:r w:rsidRPr="0054092E">
        <w:rPr>
          <w:b/>
          <w:bCs/>
          <w:spacing w:val="4"/>
          <w:sz w:val="18"/>
          <w:szCs w:val="18"/>
        </w:rPr>
        <w:t xml:space="preserve"> grade prior to 2015-16: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2286"/>
        <w:gridCol w:w="2286"/>
        <w:gridCol w:w="2287"/>
      </w:tblGrid>
      <w:tr w:rsidR="00135940" w:rsidRPr="00602466" w:rsidTr="004C000A">
        <w:trPr>
          <w:trHeight w:hRule="exact" w:val="23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>LETTER GRADE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602466">
              <w:rPr>
                <w:b/>
                <w:bCs/>
                <w:spacing w:val="4"/>
                <w:sz w:val="18"/>
                <w:szCs w:val="18"/>
              </w:rPr>
              <w:t>STANDARD COURSES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602466">
              <w:rPr>
                <w:b/>
                <w:bCs/>
                <w:spacing w:val="4"/>
                <w:sz w:val="18"/>
                <w:szCs w:val="18"/>
              </w:rPr>
              <w:t>HONORS COURSES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b/>
                <w:bCs/>
                <w:spacing w:val="2"/>
                <w:sz w:val="18"/>
                <w:szCs w:val="18"/>
              </w:rPr>
            </w:pPr>
            <w:r w:rsidRPr="00602466">
              <w:rPr>
                <w:b/>
                <w:bCs/>
                <w:spacing w:val="2"/>
                <w:sz w:val="18"/>
                <w:szCs w:val="18"/>
              </w:rPr>
              <w:t>AP COURSES</w:t>
            </w:r>
          </w:p>
        </w:tc>
      </w:tr>
      <w:tr w:rsidR="00135940" w:rsidRPr="00602466" w:rsidTr="004C000A">
        <w:trPr>
          <w:trHeight w:hRule="exact"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A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6</w:t>
            </w:r>
          </w:p>
        </w:tc>
      </w:tr>
      <w:tr w:rsidR="00135940" w:rsidRPr="00602466" w:rsidTr="004C000A">
        <w:trPr>
          <w:trHeight w:hRule="exact" w:val="226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B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5</w:t>
            </w:r>
          </w:p>
        </w:tc>
      </w:tr>
      <w:tr w:rsidR="00135940" w:rsidRPr="00602466" w:rsidTr="004C000A">
        <w:trPr>
          <w:trHeight w:hRule="exact" w:val="216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C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4</w:t>
            </w:r>
          </w:p>
        </w:tc>
      </w:tr>
      <w:tr w:rsidR="00135940" w:rsidRPr="00602466" w:rsidTr="004C000A">
        <w:trPr>
          <w:trHeight w:hRule="exact" w:val="221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D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3</w:t>
            </w:r>
          </w:p>
        </w:tc>
      </w:tr>
      <w:tr w:rsidR="00135940" w:rsidRPr="00602466" w:rsidTr="004C000A">
        <w:trPr>
          <w:trHeight w:hRule="exact" w:val="220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F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0</w:t>
            </w:r>
          </w:p>
        </w:tc>
      </w:tr>
      <w:tr w:rsidR="00135940" w:rsidRPr="00602466" w:rsidTr="004C000A">
        <w:trPr>
          <w:trHeight w:hRule="exact" w:val="21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FF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602466">
              <w:rPr>
                <w:spacing w:val="4"/>
                <w:sz w:val="18"/>
                <w:szCs w:val="18"/>
              </w:rPr>
              <w:t>0</w:t>
            </w:r>
          </w:p>
        </w:tc>
      </w:tr>
    </w:tbl>
    <w:p w:rsidR="00135940" w:rsidRDefault="00135940" w:rsidP="00135940">
      <w:pPr>
        <w:spacing w:after="412" w:line="20" w:lineRule="exact"/>
        <w:ind w:right="864"/>
      </w:pPr>
    </w:p>
    <w:p w:rsidR="00135940" w:rsidRPr="0054092E" w:rsidRDefault="00135940" w:rsidP="00135940">
      <w:pPr>
        <w:spacing w:after="216"/>
        <w:rPr>
          <w:b/>
        </w:rPr>
      </w:pPr>
      <w:r w:rsidRPr="0054092E">
        <w:rPr>
          <w:b/>
          <w:bCs/>
          <w:spacing w:val="4"/>
          <w:sz w:val="18"/>
          <w:szCs w:val="18"/>
        </w:rPr>
        <w:t>QUALITY POINTS for students entering 9</w:t>
      </w:r>
      <w:r w:rsidRPr="0054092E">
        <w:rPr>
          <w:b/>
          <w:bCs/>
          <w:spacing w:val="4"/>
          <w:sz w:val="18"/>
          <w:szCs w:val="18"/>
          <w:vertAlign w:val="superscript"/>
        </w:rPr>
        <w:t>th</w:t>
      </w:r>
      <w:r w:rsidRPr="0054092E">
        <w:rPr>
          <w:b/>
          <w:bCs/>
          <w:spacing w:val="4"/>
          <w:sz w:val="18"/>
          <w:szCs w:val="18"/>
        </w:rPr>
        <w:t xml:space="preserve"> grade in 2015-16 and beyond:</w:t>
      </w:r>
    </w:p>
    <w:tbl>
      <w:tblPr>
        <w:tblW w:w="9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7"/>
      </w:tblGrid>
      <w:tr w:rsidR="00135940" w:rsidRPr="00D80792" w:rsidTr="004C000A">
        <w:trPr>
          <w:trHeight w:hRule="exact" w:val="23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>
              <w:rPr>
                <w:b/>
                <w:bCs/>
                <w:spacing w:val="4"/>
                <w:sz w:val="18"/>
                <w:szCs w:val="18"/>
              </w:rPr>
              <w:t>LETTER GRADE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80792">
              <w:rPr>
                <w:b/>
                <w:bCs/>
                <w:spacing w:val="4"/>
                <w:sz w:val="18"/>
                <w:szCs w:val="18"/>
              </w:rPr>
              <w:t>STANDARD COURSES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80792">
              <w:rPr>
                <w:b/>
                <w:bCs/>
                <w:spacing w:val="4"/>
                <w:sz w:val="18"/>
                <w:szCs w:val="18"/>
              </w:rPr>
              <w:t>HONORS COURSES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b/>
                <w:bCs/>
                <w:spacing w:val="2"/>
                <w:sz w:val="18"/>
                <w:szCs w:val="18"/>
              </w:rPr>
            </w:pPr>
            <w:r w:rsidRPr="00D80792">
              <w:rPr>
                <w:b/>
                <w:bCs/>
                <w:spacing w:val="2"/>
                <w:sz w:val="18"/>
                <w:szCs w:val="18"/>
              </w:rPr>
              <w:t>AP COURSES</w:t>
            </w:r>
          </w:p>
        </w:tc>
      </w:tr>
      <w:tr w:rsidR="00135940" w:rsidRPr="00D80792" w:rsidTr="004C000A">
        <w:trPr>
          <w:trHeight w:hRule="exact" w:val="2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4.5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5</w:t>
            </w:r>
          </w:p>
        </w:tc>
      </w:tr>
      <w:tr w:rsidR="00135940" w:rsidRPr="00D80792" w:rsidTr="004C000A">
        <w:trPr>
          <w:trHeight w:hRule="exact" w:val="226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3.5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4</w:t>
            </w:r>
          </w:p>
        </w:tc>
      </w:tr>
      <w:tr w:rsidR="00135940" w:rsidRPr="00D80792" w:rsidTr="004C000A">
        <w:trPr>
          <w:trHeight w:hRule="exact" w:val="216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C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2.5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3</w:t>
            </w:r>
          </w:p>
        </w:tc>
      </w:tr>
      <w:tr w:rsidR="00135940" w:rsidRPr="00D80792" w:rsidTr="004C000A">
        <w:trPr>
          <w:trHeight w:hRule="exact" w:val="221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1.5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2</w:t>
            </w:r>
          </w:p>
        </w:tc>
      </w:tr>
      <w:tr w:rsidR="00135940" w:rsidRPr="00D80792" w:rsidTr="004C000A">
        <w:trPr>
          <w:trHeight w:hRule="exact" w:val="22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0</w:t>
            </w:r>
          </w:p>
        </w:tc>
      </w:tr>
      <w:tr w:rsidR="00135940" w:rsidRPr="00D80792" w:rsidTr="004C000A">
        <w:trPr>
          <w:trHeight w:hRule="exact" w:val="21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940" w:rsidRPr="00602466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FF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40" w:rsidRPr="00D80792" w:rsidRDefault="00135940" w:rsidP="004C000A">
            <w:pPr>
              <w:jc w:val="center"/>
              <w:rPr>
                <w:spacing w:val="4"/>
                <w:sz w:val="18"/>
                <w:szCs w:val="18"/>
              </w:rPr>
            </w:pPr>
            <w:r w:rsidRPr="00D80792">
              <w:rPr>
                <w:spacing w:val="4"/>
                <w:sz w:val="18"/>
                <w:szCs w:val="18"/>
              </w:rPr>
              <w:t>0</w:t>
            </w:r>
          </w:p>
        </w:tc>
      </w:tr>
    </w:tbl>
    <w:p w:rsidR="00135940" w:rsidRPr="00D80792" w:rsidRDefault="00135940" w:rsidP="00135940">
      <w:pPr>
        <w:spacing w:after="412" w:line="20" w:lineRule="exact"/>
        <w:ind w:right="864"/>
      </w:pPr>
    </w:p>
    <w:p w:rsidR="00135940" w:rsidRPr="005E79CD" w:rsidRDefault="00135940" w:rsidP="00135940">
      <w:pPr>
        <w:ind w:left="504" w:hanging="504"/>
        <w:rPr>
          <w:spacing w:val="4"/>
          <w:sz w:val="18"/>
          <w:szCs w:val="18"/>
        </w:rPr>
      </w:pPr>
      <w:r w:rsidRPr="005E79CD">
        <w:rPr>
          <w:spacing w:val="4"/>
          <w:sz w:val="18"/>
          <w:szCs w:val="18"/>
        </w:rPr>
        <w:t xml:space="preserve">Note: Students will receive one extra quality point for Community College courses approved by the Comprehensive Articulation Agreement (CAA)*. Independent college and UNC system courses will also earn one extra quality point. Official AP and IB courses and upper division courses will earn two extra quality points. </w:t>
      </w:r>
      <w:proofErr w:type="gramStart"/>
      <w:r w:rsidRPr="005E79CD">
        <w:rPr>
          <w:spacing w:val="4"/>
          <w:sz w:val="18"/>
          <w:szCs w:val="18"/>
        </w:rPr>
        <w:t>N.C. State Board of Education Policy GCS – L – 004.</w:t>
      </w:r>
      <w:proofErr w:type="gramEnd"/>
      <w:r w:rsidRPr="005E79CD">
        <w:rPr>
          <w:spacing w:val="4"/>
          <w:sz w:val="18"/>
          <w:szCs w:val="18"/>
        </w:rPr>
        <w:t xml:space="preserve"> </w:t>
      </w:r>
    </w:p>
    <w:p w:rsidR="00135940" w:rsidRPr="00D80792" w:rsidRDefault="00135940" w:rsidP="00135940">
      <w:pPr>
        <w:spacing w:before="72"/>
        <w:ind w:left="648"/>
        <w:rPr>
          <w:spacing w:val="4"/>
          <w:sz w:val="18"/>
          <w:szCs w:val="18"/>
        </w:rPr>
      </w:pPr>
      <w:r w:rsidRPr="005E79CD">
        <w:rPr>
          <w:spacing w:val="4"/>
          <w:sz w:val="18"/>
          <w:szCs w:val="18"/>
        </w:rPr>
        <w:t>*</w:t>
      </w:r>
      <w:r w:rsidRPr="005E79CD">
        <w:t xml:space="preserve"> </w:t>
      </w:r>
      <w:hyperlink r:id="rId5" w:history="1">
        <w:r w:rsidRPr="005E79CD">
          <w:rPr>
            <w:rStyle w:val="Hyperlink"/>
            <w:spacing w:val="4"/>
            <w:sz w:val="18"/>
            <w:szCs w:val="18"/>
          </w:rPr>
          <w:t>http://www.northcarolina.edu/aa/articulation/index.htm</w:t>
        </w:r>
      </w:hyperlink>
    </w:p>
    <w:p w:rsidR="00135940" w:rsidRPr="00D80792" w:rsidRDefault="00135940" w:rsidP="00135940">
      <w:pPr>
        <w:spacing w:before="72"/>
        <w:ind w:left="648"/>
        <w:rPr>
          <w:spacing w:val="4"/>
          <w:sz w:val="18"/>
          <w:szCs w:val="18"/>
        </w:rPr>
      </w:pPr>
    </w:p>
    <w:p w:rsidR="00135940" w:rsidRPr="00D80792" w:rsidRDefault="00135940" w:rsidP="00135940">
      <w:pPr>
        <w:spacing w:before="252"/>
        <w:rPr>
          <w:b/>
          <w:bCs/>
          <w:spacing w:val="4"/>
          <w:sz w:val="18"/>
          <w:szCs w:val="18"/>
        </w:rPr>
      </w:pPr>
      <w:r w:rsidRPr="00D80792">
        <w:rPr>
          <w:b/>
          <w:bCs/>
          <w:spacing w:val="4"/>
          <w:sz w:val="18"/>
          <w:szCs w:val="18"/>
        </w:rPr>
        <w:t>GRADING SCALE for students entering 9</w:t>
      </w:r>
      <w:r w:rsidRPr="00D80792">
        <w:rPr>
          <w:b/>
          <w:bCs/>
          <w:spacing w:val="4"/>
          <w:sz w:val="18"/>
          <w:szCs w:val="18"/>
          <w:vertAlign w:val="superscript"/>
        </w:rPr>
        <w:t>th</w:t>
      </w:r>
      <w:r w:rsidRPr="00D80792">
        <w:rPr>
          <w:b/>
          <w:bCs/>
          <w:spacing w:val="4"/>
          <w:sz w:val="18"/>
          <w:szCs w:val="18"/>
        </w:rPr>
        <w:t xml:space="preserve"> grade prior to 2015-16:</w:t>
      </w:r>
    </w:p>
    <w:p w:rsidR="00135940" w:rsidRPr="00D80792" w:rsidRDefault="00135940" w:rsidP="00135940">
      <w:pPr>
        <w:tabs>
          <w:tab w:val="left" w:pos="1485"/>
          <w:tab w:val="left" w:pos="4009"/>
          <w:tab w:val="left" w:pos="6433"/>
          <w:tab w:val="left" w:pos="8027"/>
        </w:tabs>
        <w:spacing w:before="216"/>
        <w:rPr>
          <w:spacing w:val="4"/>
          <w:sz w:val="18"/>
          <w:szCs w:val="18"/>
        </w:rPr>
      </w:pPr>
      <w:r w:rsidRPr="00D80792">
        <w:rPr>
          <w:spacing w:val="4"/>
          <w:sz w:val="18"/>
          <w:szCs w:val="18"/>
        </w:rPr>
        <w:t>A = 93 – 100</w:t>
      </w:r>
      <w:r w:rsidRPr="00D80792">
        <w:rPr>
          <w:spacing w:val="4"/>
          <w:sz w:val="18"/>
          <w:szCs w:val="18"/>
        </w:rPr>
        <w:tab/>
      </w:r>
      <w:r>
        <w:rPr>
          <w:spacing w:val="4"/>
          <w:sz w:val="18"/>
          <w:szCs w:val="18"/>
        </w:rPr>
        <w:t>B = 85 – 92</w:t>
      </w:r>
      <w:r>
        <w:rPr>
          <w:spacing w:val="4"/>
          <w:sz w:val="18"/>
          <w:szCs w:val="18"/>
        </w:rPr>
        <w:tab/>
      </w:r>
      <w:r w:rsidRPr="00D80792">
        <w:rPr>
          <w:spacing w:val="4"/>
          <w:sz w:val="18"/>
          <w:szCs w:val="18"/>
        </w:rPr>
        <w:t>C = 77 – 84</w:t>
      </w:r>
      <w:r w:rsidRPr="00D80792">
        <w:rPr>
          <w:spacing w:val="4"/>
          <w:sz w:val="18"/>
          <w:szCs w:val="18"/>
        </w:rPr>
        <w:tab/>
        <w:t>D = 70 – 76</w:t>
      </w:r>
      <w:r w:rsidRPr="00D80792">
        <w:rPr>
          <w:spacing w:val="4"/>
          <w:sz w:val="18"/>
          <w:szCs w:val="18"/>
        </w:rPr>
        <w:tab/>
        <w:t>F = less than 70</w:t>
      </w:r>
    </w:p>
    <w:p w:rsidR="00135940" w:rsidRPr="00D80792" w:rsidRDefault="00135940" w:rsidP="00135940">
      <w:pPr>
        <w:tabs>
          <w:tab w:val="left" w:pos="1485"/>
          <w:tab w:val="left" w:pos="4009"/>
          <w:tab w:val="left" w:pos="6433"/>
        </w:tabs>
        <w:spacing w:before="144" w:line="360" w:lineRule="auto"/>
        <w:rPr>
          <w:spacing w:val="4"/>
          <w:sz w:val="18"/>
          <w:szCs w:val="18"/>
        </w:rPr>
      </w:pPr>
      <w:r w:rsidRPr="00D80792">
        <w:rPr>
          <w:spacing w:val="4"/>
          <w:sz w:val="18"/>
          <w:szCs w:val="18"/>
        </w:rPr>
        <w:t>I = incomplete</w:t>
      </w:r>
      <w:r w:rsidRPr="00D80792">
        <w:rPr>
          <w:spacing w:val="4"/>
          <w:sz w:val="18"/>
          <w:szCs w:val="18"/>
        </w:rPr>
        <w:tab/>
        <w:t>WP = withdrawal, no penalty</w:t>
      </w:r>
      <w:r w:rsidRPr="00D80792">
        <w:rPr>
          <w:spacing w:val="4"/>
          <w:sz w:val="18"/>
          <w:szCs w:val="18"/>
        </w:rPr>
        <w:tab/>
        <w:t>WF = withdrawal with an F</w:t>
      </w:r>
      <w:r w:rsidRPr="00D80792">
        <w:rPr>
          <w:spacing w:val="4"/>
          <w:sz w:val="18"/>
          <w:szCs w:val="18"/>
        </w:rPr>
        <w:tab/>
        <w:t>FF = failed for violation of attendance policy</w:t>
      </w:r>
    </w:p>
    <w:p w:rsidR="00135940" w:rsidRPr="00D80792" w:rsidRDefault="00135940" w:rsidP="00135940">
      <w:pPr>
        <w:spacing w:before="252"/>
        <w:rPr>
          <w:b/>
          <w:bCs/>
          <w:spacing w:val="4"/>
          <w:sz w:val="18"/>
          <w:szCs w:val="18"/>
        </w:rPr>
      </w:pPr>
      <w:r w:rsidRPr="00D80792">
        <w:rPr>
          <w:b/>
          <w:bCs/>
          <w:spacing w:val="4"/>
          <w:sz w:val="18"/>
          <w:szCs w:val="18"/>
        </w:rPr>
        <w:t>GRADING SCALE for students entering 9</w:t>
      </w:r>
      <w:r w:rsidRPr="00D80792">
        <w:rPr>
          <w:b/>
          <w:bCs/>
          <w:spacing w:val="4"/>
          <w:sz w:val="18"/>
          <w:szCs w:val="18"/>
          <w:vertAlign w:val="superscript"/>
        </w:rPr>
        <w:t>th</w:t>
      </w:r>
      <w:r w:rsidRPr="00D80792">
        <w:rPr>
          <w:b/>
          <w:bCs/>
          <w:spacing w:val="4"/>
          <w:sz w:val="18"/>
          <w:szCs w:val="18"/>
        </w:rPr>
        <w:t xml:space="preserve"> grade prior to 2015-16:</w:t>
      </w:r>
    </w:p>
    <w:p w:rsidR="00135940" w:rsidRPr="00D80792" w:rsidRDefault="00135940" w:rsidP="00135940">
      <w:pPr>
        <w:tabs>
          <w:tab w:val="left" w:pos="1485"/>
          <w:tab w:val="left" w:pos="4009"/>
          <w:tab w:val="left" w:pos="6433"/>
          <w:tab w:val="left" w:pos="8027"/>
        </w:tabs>
        <w:spacing w:before="216"/>
        <w:rPr>
          <w:spacing w:val="4"/>
          <w:sz w:val="18"/>
          <w:szCs w:val="18"/>
        </w:rPr>
      </w:pPr>
      <w:r w:rsidRPr="00D80792">
        <w:rPr>
          <w:spacing w:val="4"/>
          <w:sz w:val="18"/>
          <w:szCs w:val="18"/>
        </w:rPr>
        <w:t>A = 90 – 100</w:t>
      </w:r>
      <w:r w:rsidRPr="00D80792">
        <w:rPr>
          <w:spacing w:val="4"/>
          <w:sz w:val="18"/>
          <w:szCs w:val="18"/>
        </w:rPr>
        <w:tab/>
        <w:t>B = 80 - 89</w:t>
      </w:r>
      <w:r w:rsidRPr="00D80792">
        <w:rPr>
          <w:spacing w:val="4"/>
          <w:sz w:val="18"/>
          <w:szCs w:val="18"/>
        </w:rPr>
        <w:tab/>
        <w:t>C = 70 - 79</w:t>
      </w:r>
      <w:r w:rsidRPr="00D80792">
        <w:rPr>
          <w:spacing w:val="4"/>
          <w:sz w:val="18"/>
          <w:szCs w:val="18"/>
        </w:rPr>
        <w:tab/>
        <w:t>D = 60 – 69</w:t>
      </w:r>
      <w:r w:rsidRPr="00D80792">
        <w:rPr>
          <w:spacing w:val="4"/>
          <w:sz w:val="18"/>
          <w:szCs w:val="18"/>
        </w:rPr>
        <w:tab/>
        <w:t>F = less than 60</w:t>
      </w:r>
    </w:p>
    <w:p w:rsidR="00135940" w:rsidRPr="00D80792" w:rsidRDefault="00135940" w:rsidP="00135940">
      <w:pPr>
        <w:tabs>
          <w:tab w:val="left" w:pos="1485"/>
          <w:tab w:val="left" w:pos="4009"/>
          <w:tab w:val="left" w:pos="6433"/>
        </w:tabs>
        <w:spacing w:before="144" w:line="360" w:lineRule="auto"/>
        <w:rPr>
          <w:spacing w:val="4"/>
          <w:sz w:val="18"/>
          <w:szCs w:val="18"/>
        </w:rPr>
      </w:pPr>
      <w:r w:rsidRPr="00D80792">
        <w:rPr>
          <w:spacing w:val="4"/>
          <w:sz w:val="18"/>
          <w:szCs w:val="18"/>
        </w:rPr>
        <w:t>I = incomplete</w:t>
      </w:r>
      <w:r w:rsidRPr="00D80792">
        <w:rPr>
          <w:spacing w:val="4"/>
          <w:sz w:val="18"/>
          <w:szCs w:val="18"/>
        </w:rPr>
        <w:tab/>
        <w:t>WP = withdrawal, no penalty</w:t>
      </w:r>
      <w:r w:rsidRPr="00D80792">
        <w:rPr>
          <w:spacing w:val="4"/>
          <w:sz w:val="18"/>
          <w:szCs w:val="18"/>
        </w:rPr>
        <w:tab/>
        <w:t>WF = withdrawal with an F</w:t>
      </w:r>
      <w:r w:rsidRPr="00D80792">
        <w:rPr>
          <w:spacing w:val="4"/>
          <w:sz w:val="18"/>
          <w:szCs w:val="18"/>
        </w:rPr>
        <w:tab/>
        <w:t>FF = failed for violation of attendance policy</w:t>
      </w:r>
    </w:p>
    <w:p w:rsidR="00135940" w:rsidRPr="00D80792" w:rsidRDefault="00135940" w:rsidP="00135940">
      <w:pPr>
        <w:spacing w:before="252"/>
        <w:rPr>
          <w:b/>
          <w:bCs/>
          <w:spacing w:val="4"/>
          <w:sz w:val="18"/>
          <w:szCs w:val="18"/>
        </w:rPr>
      </w:pPr>
      <w:r w:rsidRPr="00D80792">
        <w:rPr>
          <w:b/>
          <w:bCs/>
          <w:spacing w:val="4"/>
          <w:sz w:val="18"/>
          <w:szCs w:val="18"/>
        </w:rPr>
        <w:t>GRADING PERIODS / INTERIMS / REPORT CARDS</w:t>
      </w:r>
    </w:p>
    <w:p w:rsidR="00135940" w:rsidRPr="00602466" w:rsidRDefault="00135940" w:rsidP="00135940">
      <w:pPr>
        <w:spacing w:before="216"/>
        <w:rPr>
          <w:spacing w:val="4"/>
          <w:sz w:val="18"/>
          <w:szCs w:val="18"/>
        </w:rPr>
      </w:pPr>
      <w:r w:rsidRPr="00602466">
        <w:rPr>
          <w:spacing w:val="4"/>
          <w:sz w:val="18"/>
          <w:szCs w:val="18"/>
        </w:rPr>
        <w:t xml:space="preserve">Report cards are issued to students every nine weeks. Interim reports are issued to all students at the mid-point of the first and third nine weeks. Students who are failing or whose grade has </w:t>
      </w:r>
      <w:proofErr w:type="gramStart"/>
      <w:r w:rsidRPr="00602466">
        <w:rPr>
          <w:spacing w:val="4"/>
          <w:sz w:val="18"/>
          <w:szCs w:val="18"/>
        </w:rPr>
        <w:t>fallen</w:t>
      </w:r>
      <w:proofErr w:type="gramEnd"/>
      <w:r w:rsidRPr="00602466">
        <w:rPr>
          <w:spacing w:val="4"/>
          <w:sz w:val="18"/>
          <w:szCs w:val="18"/>
        </w:rPr>
        <w:t xml:space="preserve"> a letter grade receive an interim report at the mid-point of the second and fourth grading periods.</w:t>
      </w:r>
    </w:p>
    <w:p w:rsidR="00135940" w:rsidRDefault="00135940" w:rsidP="00135940">
      <w:pPr>
        <w:spacing w:before="252"/>
        <w:rPr>
          <w:b/>
          <w:bCs/>
          <w:spacing w:val="4"/>
          <w:sz w:val="18"/>
          <w:szCs w:val="18"/>
        </w:rPr>
      </w:pPr>
    </w:p>
    <w:p w:rsidR="00135940" w:rsidRDefault="00135940" w:rsidP="00135940">
      <w:pPr>
        <w:spacing w:before="252"/>
        <w:rPr>
          <w:b/>
          <w:bCs/>
          <w:spacing w:val="4"/>
          <w:sz w:val="18"/>
          <w:szCs w:val="18"/>
        </w:rPr>
      </w:pPr>
    </w:p>
    <w:p w:rsidR="00135940" w:rsidRPr="00602466" w:rsidRDefault="00135940" w:rsidP="00135940">
      <w:pPr>
        <w:spacing w:before="252"/>
        <w:rPr>
          <w:b/>
          <w:bCs/>
          <w:spacing w:val="4"/>
          <w:sz w:val="18"/>
          <w:szCs w:val="18"/>
        </w:rPr>
      </w:pPr>
      <w:bookmarkStart w:id="1" w:name="_GoBack"/>
      <w:bookmarkEnd w:id="1"/>
      <w:r w:rsidRPr="00602466">
        <w:rPr>
          <w:b/>
          <w:bCs/>
          <w:spacing w:val="4"/>
          <w:sz w:val="18"/>
          <w:szCs w:val="18"/>
        </w:rPr>
        <w:lastRenderedPageBreak/>
        <w:t>ACADEMIC HONORS</w:t>
      </w:r>
    </w:p>
    <w:p w:rsidR="00135940" w:rsidRDefault="00135940" w:rsidP="00135940">
      <w:pPr>
        <w:spacing w:before="216"/>
        <w:rPr>
          <w:spacing w:val="4"/>
          <w:sz w:val="18"/>
          <w:szCs w:val="18"/>
        </w:rPr>
      </w:pPr>
      <w:r w:rsidRPr="00602466">
        <w:rPr>
          <w:spacing w:val="4"/>
          <w:sz w:val="18"/>
          <w:szCs w:val="18"/>
        </w:rPr>
        <w:t>Grade point averages are calculated and rounded off to four decimal places. Class rank is calculated based on that four-decimal</w:t>
      </w:r>
      <w:r w:rsidRPr="00602466">
        <w:rPr>
          <w:spacing w:val="4"/>
          <w:sz w:val="18"/>
          <w:szCs w:val="18"/>
        </w:rPr>
        <w:softHyphen/>
        <w:t xml:space="preserve"> place grade point average. Graduating seniors who have excelled academically are recognized for their achievement.</w:t>
      </w:r>
    </w:p>
    <w:p w:rsidR="007B4E47" w:rsidRDefault="00135940"/>
    <w:sectPr w:rsidR="007B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40"/>
    <w:rsid w:val="00135940"/>
    <w:rsid w:val="001958B0"/>
    <w:rsid w:val="00B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40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135940"/>
    <w:pPr>
      <w:keepNext/>
      <w:spacing w:before="240" w:after="120"/>
      <w:jc w:val="center"/>
      <w:outlineLvl w:val="4"/>
    </w:pPr>
    <w:rPr>
      <w:b/>
      <w:bCs/>
      <w:smallCap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35940"/>
    <w:rPr>
      <w:rFonts w:eastAsia="Times New Roman" w:cs="Times New Roman"/>
      <w:b/>
      <w:bCs/>
      <w:smallCaps/>
      <w:u w:val="single"/>
    </w:rPr>
  </w:style>
  <w:style w:type="character" w:styleId="Hyperlink">
    <w:name w:val="Hyperlink"/>
    <w:basedOn w:val="DefaultParagraphFont"/>
    <w:uiPriority w:val="99"/>
    <w:rsid w:val="0013594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40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135940"/>
    <w:pPr>
      <w:keepNext/>
      <w:spacing w:before="240" w:after="120"/>
      <w:jc w:val="center"/>
      <w:outlineLvl w:val="4"/>
    </w:pPr>
    <w:rPr>
      <w:b/>
      <w:bCs/>
      <w:smallCap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35940"/>
    <w:rPr>
      <w:rFonts w:eastAsia="Times New Roman" w:cs="Times New Roman"/>
      <w:b/>
      <w:bCs/>
      <w:smallCaps/>
      <w:u w:val="single"/>
    </w:rPr>
  </w:style>
  <w:style w:type="character" w:styleId="Hyperlink">
    <w:name w:val="Hyperlink"/>
    <w:basedOn w:val="DefaultParagraphFont"/>
    <w:uiPriority w:val="99"/>
    <w:rsid w:val="0013594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carolina.edu/aa/articulatio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tbrown3</dc:creator>
  <cp:lastModifiedBy>tbrown3</cp:lastModifiedBy>
  <cp:revision>1</cp:revision>
  <dcterms:created xsi:type="dcterms:W3CDTF">2015-10-01T13:40:00Z</dcterms:created>
  <dcterms:modified xsi:type="dcterms:W3CDTF">2015-10-01T13:41:00Z</dcterms:modified>
</cp:coreProperties>
</file>